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7B58E6">
              <w:rPr>
                <w:rFonts w:asciiTheme="majorHAnsi" w:eastAsiaTheme="majorEastAsia" w:hAnsiTheme="majorHAnsi" w:cstheme="majorBidi"/>
                <w:sz w:val="36"/>
                <w:szCs w:val="36"/>
              </w:rPr>
              <w:t>EKİM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FE2D1A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FE2D1A" w:rsidP="00AD2065">
      <w:pPr>
        <w:rPr>
          <w:b/>
        </w:rPr>
      </w:pPr>
      <w:r>
        <w:rPr>
          <w:b/>
        </w:rPr>
        <w:t>Ekim</w:t>
      </w:r>
      <w:r w:rsidR="00EF4E45" w:rsidRPr="00EF4E45">
        <w:rPr>
          <w:b/>
        </w:rPr>
        <w:t xml:space="preserve"> 2014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8</w:t>
      </w:r>
      <w:r w:rsidR="00EF4E45" w:rsidRPr="00EF4E45">
        <w:rPr>
          <w:b/>
        </w:rPr>
        <w:t xml:space="preserve"> </w:t>
      </w:r>
      <w:r>
        <w:rPr>
          <w:b/>
        </w:rPr>
        <w:t xml:space="preserve">Aralık </w:t>
      </w:r>
      <w:r w:rsidR="00EF4E45" w:rsidRPr="00EF4E45">
        <w:rPr>
          <w:b/>
        </w:rPr>
        <w:t>2014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FD0F6A" w:rsidRPr="006D330B" w:rsidRDefault="00FD0F6A" w:rsidP="0043515F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FE2D1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FE2D1A">
        <w:rPr>
          <w:rFonts w:eastAsia="Times New Roman" w:cs="Times New Roman"/>
          <w:b/>
          <w:bCs/>
          <w:noProof/>
          <w:kern w:val="36"/>
          <w:sz w:val="28"/>
          <w:szCs w:val="24"/>
        </w:rPr>
        <w:drawing>
          <wp:inline distT="0" distB="0" distL="0" distR="0">
            <wp:extent cx="5972810" cy="2435225"/>
            <wp:effectExtent l="0" t="0" r="0" b="0"/>
            <wp:docPr id="6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FE2D1A" w:rsidRDefault="00FE2D1A" w:rsidP="00C144CC">
      <w:pPr>
        <w:jc w:val="both"/>
      </w:pPr>
      <w:r>
        <w:t>Ekim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574C38" w:rsidRPr="00FD0F6A">
        <w:rPr>
          <w:b/>
          <w:u w:val="single"/>
        </w:rPr>
        <w:t>bir önceki aya (</w:t>
      </w:r>
      <w:r>
        <w:rPr>
          <w:b/>
          <w:u w:val="single"/>
        </w:rPr>
        <w:t>Eylül</w:t>
      </w:r>
      <w:r w:rsidR="00574C38" w:rsidRPr="00FD0F6A">
        <w:rPr>
          <w:b/>
          <w:u w:val="single"/>
        </w:rPr>
        <w:t xml:space="preserve"> 2014) göre</w:t>
      </w:r>
      <w:r w:rsidR="00574C38" w:rsidRPr="00C04441">
        <w:t xml:space="preserve"> yüzde </w:t>
      </w:r>
      <w:r>
        <w:t>1,8</w:t>
      </w:r>
      <w:r w:rsidR="00FD0F6A">
        <w:t xml:space="preserve"> </w:t>
      </w:r>
      <w:r>
        <w:t xml:space="preserve">düşüş </w:t>
      </w:r>
      <w:r w:rsidR="00FD0F6A" w:rsidRPr="00FE2D1A">
        <w:t>göstermiştir</w:t>
      </w:r>
      <w:r w:rsidR="00574C38" w:rsidRPr="00FE2D1A">
        <w:t xml:space="preserve">. </w:t>
      </w:r>
      <w:r w:rsidRPr="00FE2D1A">
        <w:t>Ekim</w:t>
      </w:r>
      <w:r w:rsidR="00574C38" w:rsidRPr="00FE2D1A">
        <w:t xml:space="preserve"> (2014) ayında</w:t>
      </w:r>
      <w:r w:rsidR="00351561" w:rsidRPr="00FE2D1A">
        <w:t xml:space="preserve"> önceki aya göre</w:t>
      </w:r>
      <w:r w:rsidR="00574C38" w:rsidRPr="00FE2D1A">
        <w:t xml:space="preserve"> ana </w:t>
      </w:r>
      <w:r w:rsidR="007B58E6" w:rsidRPr="00FE2D1A">
        <w:t>sanayi</w:t>
      </w:r>
      <w:r w:rsidR="00574C38" w:rsidRPr="00FE2D1A">
        <w:t xml:space="preserve"> </w:t>
      </w:r>
      <w:r w:rsidR="00C04441" w:rsidRPr="00FE2D1A">
        <w:t>sektörleri</w:t>
      </w:r>
      <w:r w:rsidR="00574C38" w:rsidRPr="00FE2D1A">
        <w:t xml:space="preserve"> itibariyle en yüksek </w:t>
      </w:r>
      <w:r w:rsidRPr="00FE2D1A">
        <w:t>düşüş</w:t>
      </w:r>
      <w:r w:rsidR="00574C38" w:rsidRPr="00FE2D1A">
        <w:t xml:space="preserve"> yüzde </w:t>
      </w:r>
      <w:r w:rsidR="00C04441" w:rsidRPr="00FE2D1A">
        <w:t>2,</w:t>
      </w:r>
      <w:r w:rsidRPr="00FE2D1A">
        <w:t>9</w:t>
      </w:r>
      <w:r w:rsidR="00574C38" w:rsidRPr="00FE2D1A">
        <w:t xml:space="preserve"> ile</w:t>
      </w:r>
      <w:r w:rsidR="007B58E6" w:rsidRPr="00FE2D1A">
        <w:t xml:space="preserve"> </w:t>
      </w:r>
      <w:r w:rsidR="00C04441" w:rsidRPr="00FE2D1A">
        <w:t xml:space="preserve">madencilik ve taşocakçılığında </w:t>
      </w:r>
      <w:r w:rsidR="00574C38" w:rsidRPr="00FE2D1A">
        <w:t xml:space="preserve">yaşanırken, bunu yüzde </w:t>
      </w:r>
      <w:r w:rsidRPr="00FE2D1A">
        <w:t>2</w:t>
      </w:r>
      <w:r w:rsidR="00C04441" w:rsidRPr="00FE2D1A">
        <w:t>,</w:t>
      </w:r>
      <w:r w:rsidRPr="00FE2D1A">
        <w:t>2</w:t>
      </w:r>
      <w:r w:rsidR="00574C38" w:rsidRPr="00FE2D1A">
        <w:t xml:space="preserve"> </w:t>
      </w:r>
      <w:r w:rsidRPr="00FE2D1A">
        <w:t>düşüşle</w:t>
      </w:r>
      <w:r w:rsidR="00574C38" w:rsidRPr="00FE2D1A">
        <w:t xml:space="preserve"> </w:t>
      </w:r>
      <w:r w:rsidR="007B58E6" w:rsidRPr="00FE2D1A">
        <w:t xml:space="preserve">elektrik, gaz, buhar ve iklimlendirme üretimi ve dağıtımı </w:t>
      </w:r>
      <w:r w:rsidRPr="00FE2D1A">
        <w:t>ve yüzde 1,7 düşüşle imalat sanayi takip etmektedir</w:t>
      </w:r>
      <w:r w:rsidR="00574C38" w:rsidRPr="00FE2D1A">
        <w:t xml:space="preserve">. 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FE2D1A" w:rsidRPr="00FE2D1A">
        <w:t>azalmada</w:t>
      </w:r>
      <w:r w:rsidR="007B58E6" w:rsidRPr="00FE2D1A">
        <w:t xml:space="preserve"> dayanıklı tüketim </w:t>
      </w:r>
      <w:r w:rsidRPr="00FE2D1A">
        <w:t xml:space="preserve">ve </w:t>
      </w:r>
      <w:r w:rsidR="00FE2D1A" w:rsidRPr="00FE2D1A">
        <w:t>sermaye</w:t>
      </w:r>
      <w:r w:rsidRPr="00FE2D1A">
        <w:t xml:space="preserve"> </w:t>
      </w:r>
      <w:r w:rsidR="007B58E6" w:rsidRPr="00FE2D1A">
        <w:t xml:space="preserve">mallarındaki </w:t>
      </w:r>
      <w:r w:rsidR="00FE2D1A" w:rsidRPr="00FE2D1A">
        <w:t>düşüşün</w:t>
      </w:r>
      <w:r w:rsidR="007B58E6" w:rsidRPr="00FE2D1A">
        <w:t xml:space="preserve"> etkisi oldu</w:t>
      </w:r>
      <w:r w:rsidR="00FD0F6A" w:rsidRPr="00FE2D1A">
        <w:t>ğu görülmektedir</w:t>
      </w:r>
      <w:r w:rsidR="007B58E6" w:rsidRPr="00FE2D1A">
        <w:t>.</w:t>
      </w:r>
    </w:p>
    <w:p w:rsidR="00517288" w:rsidRPr="00FE2D1A" w:rsidRDefault="00517288" w:rsidP="00517288">
      <w:pPr>
        <w:jc w:val="both"/>
        <w:rPr>
          <w:highlight w:val="yellow"/>
        </w:rPr>
      </w:pPr>
      <w:r w:rsidRPr="00FE2D1A">
        <w:t xml:space="preserve">İmalat sanayinin alt sektörlerinde geçen aya göre </w:t>
      </w:r>
      <w:r w:rsidR="00923FD3" w:rsidRPr="00FE2D1A">
        <w:t xml:space="preserve">en fazla </w:t>
      </w:r>
      <w:r w:rsidR="00FE2D1A" w:rsidRPr="00FE2D1A">
        <w:t>düşüş</w:t>
      </w:r>
      <w:r w:rsidR="00923FD3" w:rsidRPr="00FE2D1A">
        <w:t xml:space="preserve"> diğer ulaşım araçlarının imalatı (%</w:t>
      </w:r>
      <w:r w:rsidR="00FE2D1A" w:rsidRPr="00FE2D1A">
        <w:t>19,2</w:t>
      </w:r>
      <w:r w:rsidR="00923FD3" w:rsidRPr="00FE2D1A">
        <w:t>) sektöründe gerçekleşti. Bunu,</w:t>
      </w:r>
      <w:r w:rsidR="00FE2D1A" w:rsidRPr="00FE2D1A">
        <w:t xml:space="preserve"> %9,5</w:t>
      </w:r>
      <w:r w:rsidR="00923FD3" w:rsidRPr="00FE2D1A">
        <w:t xml:space="preserve"> ile</w:t>
      </w:r>
      <w:r w:rsidR="00FE2D1A" w:rsidRPr="00FE2D1A">
        <w:t xml:space="preserve"> bilgisayar ve</w:t>
      </w:r>
      <w:r w:rsidR="00923FD3" w:rsidRPr="00FE2D1A">
        <w:t xml:space="preserve"> elektrikli teçhizat imalatı, %</w:t>
      </w:r>
      <w:r w:rsidR="00FE2D1A" w:rsidRPr="00FE2D1A">
        <w:t>5</w:t>
      </w:r>
      <w:r w:rsidR="00923FD3" w:rsidRPr="00FE2D1A">
        <w:t>,</w:t>
      </w:r>
      <w:r w:rsidR="00FE2D1A" w:rsidRPr="00FE2D1A">
        <w:t>3</w:t>
      </w:r>
      <w:r w:rsidR="00923FD3" w:rsidRPr="00FE2D1A">
        <w:t xml:space="preserve"> ile </w:t>
      </w:r>
      <w:r w:rsidR="00FE2D1A" w:rsidRPr="00FE2D1A">
        <w:t xml:space="preserve">ana metal sanayi </w:t>
      </w:r>
      <w:r w:rsidR="00FD0F6A" w:rsidRPr="00FE2D1A">
        <w:t>takip etmiştir</w:t>
      </w:r>
      <w:r w:rsidR="00923FD3" w:rsidRPr="00FE2D1A">
        <w:t xml:space="preserve">. Bu sürede en hızlı </w:t>
      </w:r>
      <w:r w:rsidR="00FE2D1A" w:rsidRPr="00FE2D1A">
        <w:t>yükseliş</w:t>
      </w:r>
      <w:r w:rsidR="00923FD3" w:rsidRPr="00FE2D1A">
        <w:t xml:space="preserve"> ise </w:t>
      </w:r>
      <w:r w:rsidR="00FE2D1A" w:rsidRPr="00FE2D1A">
        <w:t>%10,7 ile tütün ürünle</w:t>
      </w:r>
      <w:r w:rsidR="00FE2D1A" w:rsidRPr="00756492">
        <w:t xml:space="preserve">ri imalatında </w:t>
      </w:r>
      <w:r w:rsidR="00FD0F6A" w:rsidRPr="00756492">
        <w:t>gerçekleşmiştir</w:t>
      </w:r>
      <w:r w:rsidRPr="00756492">
        <w:t xml:space="preserve">. İmalat Sanayi Kapasite Kullanım Oranları (KKO), </w:t>
      </w:r>
      <w:r w:rsidR="00756492" w:rsidRPr="00756492">
        <w:t xml:space="preserve">Ekimde </w:t>
      </w:r>
      <w:r w:rsidRPr="00756492">
        <w:t>geçen aya göre</w:t>
      </w:r>
      <w:r w:rsidR="00756492">
        <w:t xml:space="preserve"> aynı kalarak</w:t>
      </w:r>
      <w:r w:rsidR="001243A0" w:rsidRPr="00756492">
        <w:t xml:space="preserve"> 74</w:t>
      </w:r>
      <w:r w:rsidR="00756492">
        <w:t>,1</w:t>
      </w:r>
      <w:r w:rsidR="00FD0F6A" w:rsidRPr="00756492">
        <w:t xml:space="preserve"> değerini almıştır</w:t>
      </w:r>
      <w:r w:rsidR="00160C8F" w:rsidRPr="00756492">
        <w:t>.</w:t>
      </w:r>
    </w:p>
    <w:p w:rsidR="00160C8F" w:rsidRPr="00756492" w:rsidRDefault="00160C8F" w:rsidP="00160C8F">
      <w:pPr>
        <w:jc w:val="both"/>
      </w:pPr>
      <w:r w:rsidRPr="00756492"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756492">
        <w:t>2</w:t>
      </w:r>
      <w:r w:rsidR="00756492" w:rsidRPr="00756492">
        <w:t>,</w:t>
      </w:r>
      <w:r w:rsidR="00756492">
        <w:t>4</w:t>
      </w:r>
      <w:r w:rsidRPr="00756492">
        <w:t xml:space="preserve"> oranında </w:t>
      </w:r>
      <w:r w:rsidR="00756492">
        <w:t xml:space="preserve">artış </w:t>
      </w:r>
      <w:r w:rsidRPr="00756492">
        <w:t xml:space="preserve">göstermiştir. </w:t>
      </w:r>
      <w:r w:rsidR="00756492" w:rsidRPr="00756492">
        <w:t>Ekim</w:t>
      </w:r>
      <w:r w:rsidRPr="00756492">
        <w:t xml:space="preserve"> (2014) ayında önceki yıla göre ana sanayi </w:t>
      </w:r>
      <w:r w:rsidR="00C04441" w:rsidRPr="00756492">
        <w:t>sektörleri</w:t>
      </w:r>
      <w:r w:rsidRPr="00756492">
        <w:t xml:space="preserve"> itibariyle en yüksek artış yüzde </w:t>
      </w:r>
      <w:r w:rsidR="00756492" w:rsidRPr="00756492">
        <w:t>6</w:t>
      </w:r>
      <w:r w:rsidR="00C04441" w:rsidRPr="00756492">
        <w:t>,</w:t>
      </w:r>
      <w:r w:rsidR="00756492" w:rsidRPr="00756492">
        <w:t>6</w:t>
      </w:r>
      <w:r w:rsidRPr="00756492">
        <w:t xml:space="preserve"> ile </w:t>
      </w:r>
      <w:r w:rsidR="00C04441" w:rsidRPr="00756492">
        <w:t xml:space="preserve">madencilik ve taşocakçılığında </w:t>
      </w:r>
      <w:r w:rsidRPr="00756492">
        <w:lastRenderedPageBreak/>
        <w:t xml:space="preserve">yaşanırken, bunu yüzde </w:t>
      </w:r>
      <w:r w:rsidR="00756492" w:rsidRPr="00756492">
        <w:t>2</w:t>
      </w:r>
      <w:r w:rsidR="00C04441" w:rsidRPr="00756492">
        <w:t>,</w:t>
      </w:r>
      <w:r w:rsidR="00756492" w:rsidRPr="00756492">
        <w:t>9</w:t>
      </w:r>
      <w:r w:rsidRPr="00756492">
        <w:t xml:space="preserve"> artışla </w:t>
      </w:r>
      <w:r w:rsidR="00C04441" w:rsidRPr="00756492">
        <w:t xml:space="preserve">elektrik, gaz, buhar ve iklimlendirme üretimi ve dağıtımı </w:t>
      </w:r>
      <w:r w:rsidRPr="00756492">
        <w:t xml:space="preserve">ve yüzde </w:t>
      </w:r>
      <w:r w:rsidR="00756492" w:rsidRPr="00756492">
        <w:t>2</w:t>
      </w:r>
      <w:r w:rsidR="00C04441" w:rsidRPr="00756492">
        <w:t>,</w:t>
      </w:r>
      <w:r w:rsidR="00756492" w:rsidRPr="00756492">
        <w:t>2</w:t>
      </w:r>
      <w:r w:rsidRPr="00756492">
        <w:t xml:space="preserve"> artışla </w:t>
      </w:r>
      <w:r w:rsidR="00C04441" w:rsidRPr="00756492">
        <w:t xml:space="preserve">imalat sanayi </w:t>
      </w:r>
      <w:r w:rsidRPr="00756492">
        <w:t xml:space="preserve">takip etmektedir. 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Pr="004D5C8C">
        <w:t xml:space="preserve"> yıllık</w:t>
      </w:r>
      <w:r w:rsidR="00160C8F" w:rsidRPr="004D5C8C">
        <w:t xml:space="preserve"> artışta </w:t>
      </w:r>
      <w:r w:rsidR="00756492" w:rsidRPr="004D5C8C">
        <w:t>dayanıklı tüketim</w:t>
      </w:r>
      <w:r w:rsidRPr="004D5C8C">
        <w:t xml:space="preserve"> ve sermaye </w:t>
      </w:r>
      <w:r w:rsidR="00160C8F" w:rsidRPr="004D5C8C">
        <w:t>mallarındaki yük</w:t>
      </w:r>
      <w:r w:rsidR="00A705F6" w:rsidRPr="004D5C8C">
        <w:t>s</w:t>
      </w:r>
      <w:r w:rsidR="00160C8F" w:rsidRPr="004D5C8C">
        <w:t>elişi</w:t>
      </w:r>
      <w:r w:rsidRPr="004D5C8C">
        <w:t xml:space="preserve">n </w:t>
      </w:r>
      <w:r w:rsidR="00FD0F6A" w:rsidRPr="004D5C8C">
        <w:t>etkisi olmuştur</w:t>
      </w:r>
      <w:r w:rsidR="00160C8F" w:rsidRPr="004D5C8C">
        <w:t>.</w:t>
      </w:r>
      <w:r w:rsidR="00677B0D" w:rsidRPr="004D5C8C">
        <w:t xml:space="preserve"> </w:t>
      </w:r>
      <w:r w:rsidR="00160C8F" w:rsidRPr="004D5C8C">
        <w:t xml:space="preserve">İmalat Sanayi Kapasite Kullanım Oranları (KKO), </w:t>
      </w:r>
      <w:r w:rsidR="004D5C8C">
        <w:t>Ekimde</w:t>
      </w:r>
      <w:r w:rsidR="00160C8F" w:rsidRPr="004D5C8C">
        <w:t xml:space="preserve"> geçen yıla göre </w:t>
      </w:r>
      <w:r w:rsidR="004D5C8C" w:rsidRPr="004D5C8C">
        <w:t>yüzde 1,4</w:t>
      </w:r>
      <w:r w:rsidR="001243A0" w:rsidRPr="004D5C8C">
        <w:t xml:space="preserve"> azalarak yüzde 74</w:t>
      </w:r>
      <w:r w:rsidR="004D5C8C" w:rsidRPr="004D5C8C">
        <w:t>,1</w:t>
      </w:r>
      <w:r w:rsidR="00160C8F" w:rsidRPr="004D5C8C">
        <w:t xml:space="preserve"> değerini </w:t>
      </w:r>
      <w:r w:rsidR="00FD0F6A" w:rsidRPr="004D5C8C">
        <w:t>almıştır</w:t>
      </w:r>
      <w:r w:rsidR="00160C8F" w:rsidRPr="004D5C8C">
        <w:t>.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4D5C8C">
        <w:rPr>
          <w:rFonts w:eastAsia="Times New Roman" w:cs="Times New Roman"/>
          <w:b/>
          <w:bCs/>
          <w:kern w:val="36"/>
          <w:sz w:val="24"/>
          <w:szCs w:val="24"/>
        </w:rPr>
        <w:t>Ekim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FD0F6A" w:rsidRPr="004D5C8C" w:rsidRDefault="00FD0F6A" w:rsidP="0043515F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FE2D1A" w:rsidRDefault="0043515F" w:rsidP="00FD0F6A">
      <w:pPr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  <w:highlight w:val="yellow"/>
        </w:rPr>
      </w:pPr>
      <w:r w:rsidRPr="0043515F">
        <w:rPr>
          <w:rFonts w:eastAsia="Times New Roman" w:cs="Times New Roman"/>
          <w:b/>
          <w:bCs/>
          <w:i/>
          <w:kern w:val="36"/>
          <w:sz w:val="28"/>
          <w:szCs w:val="24"/>
        </w:rPr>
        <w:drawing>
          <wp:inline distT="0" distB="0" distL="0" distR="0">
            <wp:extent cx="5724525" cy="214312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TabloKlavuzu"/>
        <w:tblW w:w="0" w:type="auto"/>
        <w:tblLook w:val="04A0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4D5C8C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4D5C8C">
              <w:rPr>
                <w:b/>
              </w:rPr>
              <w:t>Ekim</w:t>
            </w:r>
            <w:r w:rsidRPr="004D5C8C">
              <w:rPr>
                <w:b/>
              </w:rPr>
              <w:t xml:space="preserve"> 2014</w:t>
            </w:r>
            <w:r w:rsidRPr="004D5C8C">
              <w:t> 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4D5C8C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4D5C8C" w:rsidRPr="004D5C8C" w:rsidRDefault="004D5C8C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hideMark/>
          </w:tcPr>
          <w:p w:rsidR="004D5C8C" w:rsidRPr="004D5C8C" w:rsidRDefault="004D5C8C" w:rsidP="004D5C8C">
            <w:pPr>
              <w:jc w:val="center"/>
            </w:pPr>
            <w:r>
              <w:t>-0</w:t>
            </w:r>
            <w:r w:rsidRPr="004D5C8C">
              <w:t>,</w:t>
            </w:r>
            <w:r>
              <w:t>9</w:t>
            </w:r>
          </w:p>
        </w:tc>
        <w:tc>
          <w:tcPr>
            <w:tcW w:w="2067" w:type="dxa"/>
            <w:noWrap/>
            <w:hideMark/>
          </w:tcPr>
          <w:p w:rsidR="004D5C8C" w:rsidRPr="004D5C8C" w:rsidRDefault="004D5C8C" w:rsidP="006C4420">
            <w:pPr>
              <w:jc w:val="center"/>
            </w:pPr>
            <w:r>
              <w:t>0</w:t>
            </w:r>
            <w:r w:rsidRPr="004D5C8C">
              <w:t>,</w:t>
            </w:r>
            <w:r>
              <w:t>9</w:t>
            </w:r>
          </w:p>
        </w:tc>
      </w:tr>
      <w:tr w:rsidR="004D5C8C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4D5C8C" w:rsidRPr="004D5C8C" w:rsidRDefault="004D5C8C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hideMark/>
          </w:tcPr>
          <w:p w:rsidR="004D5C8C" w:rsidRPr="004D5C8C" w:rsidRDefault="004D5C8C" w:rsidP="004D5C8C">
            <w:pPr>
              <w:jc w:val="center"/>
            </w:pPr>
            <w:r>
              <w:t>-2,7</w:t>
            </w:r>
          </w:p>
        </w:tc>
        <w:tc>
          <w:tcPr>
            <w:tcW w:w="2067" w:type="dxa"/>
            <w:noWrap/>
            <w:hideMark/>
          </w:tcPr>
          <w:p w:rsidR="004D5C8C" w:rsidRPr="004D5C8C" w:rsidRDefault="004D5C8C" w:rsidP="006C4420">
            <w:pPr>
              <w:jc w:val="center"/>
            </w:pPr>
            <w:r>
              <w:t>4</w:t>
            </w:r>
            <w:r w:rsidRPr="004D5C8C">
              <w:t>,</w:t>
            </w:r>
            <w:r>
              <w:t>5</w:t>
            </w:r>
          </w:p>
        </w:tc>
      </w:tr>
      <w:tr w:rsidR="004D5C8C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4D5C8C" w:rsidRPr="004D5C8C" w:rsidRDefault="004D5C8C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hideMark/>
          </w:tcPr>
          <w:p w:rsidR="004D5C8C" w:rsidRPr="004D5C8C" w:rsidRDefault="004D5C8C" w:rsidP="004D5C8C">
            <w:pPr>
              <w:jc w:val="center"/>
            </w:pPr>
            <w:r>
              <w:t>0</w:t>
            </w:r>
            <w:r w:rsidRPr="004D5C8C">
              <w:t>,</w:t>
            </w:r>
            <w:r>
              <w:t>4</w:t>
            </w:r>
          </w:p>
        </w:tc>
        <w:tc>
          <w:tcPr>
            <w:tcW w:w="2067" w:type="dxa"/>
            <w:noWrap/>
            <w:hideMark/>
          </w:tcPr>
          <w:p w:rsidR="004D5C8C" w:rsidRPr="004D5C8C" w:rsidRDefault="004D5C8C" w:rsidP="006C4420">
            <w:pPr>
              <w:jc w:val="center"/>
            </w:pPr>
            <w:r>
              <w:t>3</w:t>
            </w:r>
            <w:r w:rsidRPr="004D5C8C">
              <w:t>,</w:t>
            </w:r>
            <w:r>
              <w:t>3</w:t>
            </w:r>
          </w:p>
        </w:tc>
      </w:tr>
      <w:tr w:rsidR="004D5C8C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4D5C8C" w:rsidRPr="004D5C8C" w:rsidRDefault="004D5C8C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hideMark/>
          </w:tcPr>
          <w:p w:rsidR="004D5C8C" w:rsidRPr="004D5C8C" w:rsidRDefault="004D5C8C" w:rsidP="004D5C8C">
            <w:pPr>
              <w:jc w:val="center"/>
            </w:pPr>
            <w:r>
              <w:t>-2</w:t>
            </w:r>
            <w:r w:rsidRPr="004D5C8C">
              <w:t>,</w:t>
            </w:r>
            <w:r>
              <w:t>6</w:t>
            </w:r>
          </w:p>
        </w:tc>
        <w:tc>
          <w:tcPr>
            <w:tcW w:w="2067" w:type="dxa"/>
            <w:noWrap/>
            <w:hideMark/>
          </w:tcPr>
          <w:p w:rsidR="004D5C8C" w:rsidRPr="004D5C8C" w:rsidRDefault="004D5C8C" w:rsidP="006C4420">
            <w:pPr>
              <w:jc w:val="center"/>
            </w:pPr>
            <w:r>
              <w:t>2</w:t>
            </w:r>
            <w:r w:rsidRPr="004D5C8C">
              <w:t>,</w:t>
            </w:r>
            <w:r>
              <w:t>4</w:t>
            </w:r>
          </w:p>
        </w:tc>
      </w:tr>
      <w:tr w:rsidR="004D5C8C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4D5C8C" w:rsidRPr="004D5C8C" w:rsidRDefault="004D5C8C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hideMark/>
          </w:tcPr>
          <w:p w:rsidR="004D5C8C" w:rsidRPr="004D5C8C" w:rsidRDefault="004D5C8C" w:rsidP="004D5C8C">
            <w:pPr>
              <w:jc w:val="center"/>
            </w:pPr>
            <w:r>
              <w:t>-6</w:t>
            </w:r>
            <w:r w:rsidRPr="004D5C8C">
              <w:t>,</w:t>
            </w:r>
            <w:r>
              <w:t>5</w:t>
            </w:r>
          </w:p>
        </w:tc>
        <w:tc>
          <w:tcPr>
            <w:tcW w:w="2067" w:type="dxa"/>
            <w:noWrap/>
            <w:hideMark/>
          </w:tcPr>
          <w:p w:rsidR="004D5C8C" w:rsidRPr="004D5C8C" w:rsidRDefault="004D5C8C" w:rsidP="006C4420">
            <w:pPr>
              <w:jc w:val="center"/>
            </w:pPr>
            <w:r>
              <w:t>3</w:t>
            </w:r>
            <w:r w:rsidRPr="004D5C8C">
              <w:t>,</w:t>
            </w:r>
            <w:r>
              <w:t>6</w:t>
            </w:r>
          </w:p>
        </w:tc>
      </w:tr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4D5C8C" w:rsidP="004D5C8C">
            <w:pPr>
              <w:jc w:val="center"/>
              <w:rPr>
                <w:b/>
              </w:rPr>
            </w:pPr>
            <w:r>
              <w:rPr>
                <w:b/>
              </w:rPr>
              <w:t>-1,8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923FD3" w:rsidP="00923FD3">
            <w:pPr>
              <w:jc w:val="center"/>
              <w:rPr>
                <w:b/>
              </w:rPr>
            </w:pPr>
            <w:r w:rsidRPr="004D5C8C">
              <w:rPr>
                <w:b/>
              </w:rPr>
              <w:t>2,2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4D5C8C">
            <w:pPr>
              <w:jc w:val="both"/>
            </w:pPr>
            <w:r w:rsidRPr="004D5C8C">
              <w:rPr>
                <w:b/>
              </w:rPr>
              <w:t xml:space="preserve">Tablo 2: Sanayi Üretim Endeksi Sektörel Büyüme Oranları, </w:t>
            </w:r>
            <w:r w:rsidR="004D5C8C">
              <w:rPr>
                <w:b/>
              </w:rPr>
              <w:t>Ekim</w:t>
            </w:r>
            <w:r w:rsidRPr="004D5C8C">
              <w:rPr>
                <w:b/>
              </w:rPr>
              <w:t xml:space="preserve"> 2014</w:t>
            </w:r>
            <w:r w:rsidRPr="004D5C8C">
              <w:t> 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4D5C8C" w:rsidP="008A575D">
            <w:pPr>
              <w:jc w:val="center"/>
            </w:pPr>
            <w:r>
              <w:t>-</w:t>
            </w:r>
            <w:r w:rsidR="00424CC0" w:rsidRPr="004D5C8C">
              <w:t>2,</w:t>
            </w:r>
            <w:r>
              <w:t>9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4D5C8C" w:rsidP="008A575D">
            <w:pPr>
              <w:jc w:val="center"/>
            </w:pPr>
            <w:r>
              <w:t>6</w:t>
            </w:r>
            <w:r w:rsidR="00424CC0" w:rsidRPr="004D5C8C">
              <w:t>,</w:t>
            </w:r>
            <w:r>
              <w:t>6</w:t>
            </w: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4D5C8C" w:rsidP="004D5C8C">
            <w:pPr>
              <w:jc w:val="center"/>
            </w:pPr>
            <w:r>
              <w:t>-</w:t>
            </w:r>
            <w:r w:rsidR="00424CC0" w:rsidRPr="004D5C8C">
              <w:t>1,</w:t>
            </w:r>
            <w:r>
              <w:t>7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4D5C8C" w:rsidP="004D5C8C">
            <w:pPr>
              <w:jc w:val="center"/>
            </w:pPr>
            <w:r>
              <w:t>2</w:t>
            </w:r>
            <w:r w:rsidR="00424CC0" w:rsidRPr="004D5C8C">
              <w:t>,</w:t>
            </w:r>
            <w:r>
              <w:t>0</w:t>
            </w: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4D5C8C" w:rsidP="008A575D">
            <w:pPr>
              <w:jc w:val="center"/>
            </w:pPr>
            <w:r>
              <w:t>-2,2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4D5C8C" w:rsidP="008A575D">
            <w:pPr>
              <w:jc w:val="center"/>
            </w:pPr>
            <w:r>
              <w:t>2</w:t>
            </w:r>
            <w:r w:rsidR="00424CC0" w:rsidRPr="004D5C8C">
              <w:t>,</w:t>
            </w:r>
            <w:r>
              <w:t>9</w:t>
            </w:r>
          </w:p>
        </w:tc>
      </w:tr>
      <w:tr w:rsidR="00160C8F" w:rsidRPr="00160C8F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4D5C8C" w:rsidP="004D5C8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424CC0" w:rsidRPr="004D5C8C">
              <w:rPr>
                <w:b/>
              </w:rPr>
              <w:t>1,</w:t>
            </w:r>
            <w:r>
              <w:rPr>
                <w:b/>
              </w:rPr>
              <w:t>8</w:t>
            </w:r>
          </w:p>
        </w:tc>
        <w:tc>
          <w:tcPr>
            <w:tcW w:w="2067" w:type="dxa"/>
            <w:noWrap/>
            <w:hideMark/>
          </w:tcPr>
          <w:p w:rsidR="00160C8F" w:rsidRPr="00424CC0" w:rsidRDefault="00424CC0" w:rsidP="008A575D">
            <w:pPr>
              <w:jc w:val="center"/>
              <w:rPr>
                <w:b/>
              </w:rPr>
            </w:pPr>
            <w:r w:rsidRPr="004D5C8C">
              <w:rPr>
                <w:b/>
              </w:rPr>
              <w:t>2,</w:t>
            </w:r>
            <w:r w:rsidR="004D5C8C">
              <w:rPr>
                <w:b/>
              </w:rPr>
              <w:t>4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C6" w:rsidRDefault="002B2CC6" w:rsidP="00C04441">
      <w:pPr>
        <w:spacing w:after="0" w:line="240" w:lineRule="auto"/>
      </w:pPr>
      <w:r>
        <w:separator/>
      </w:r>
    </w:p>
  </w:endnote>
  <w:endnote w:type="continuationSeparator" w:id="0">
    <w:p w:rsidR="002B2CC6" w:rsidRDefault="002B2CC6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C6" w:rsidRDefault="002B2CC6" w:rsidP="00C04441">
      <w:pPr>
        <w:spacing w:after="0" w:line="240" w:lineRule="auto"/>
      </w:pPr>
      <w:r>
        <w:separator/>
      </w:r>
    </w:p>
  </w:footnote>
  <w:footnote w:type="continuationSeparator" w:id="0">
    <w:p w:rsidR="002B2CC6" w:rsidRDefault="002B2CC6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112C0F"/>
    <w:rsid w:val="001243A0"/>
    <w:rsid w:val="00160C8F"/>
    <w:rsid w:val="001E11A2"/>
    <w:rsid w:val="001E5A63"/>
    <w:rsid w:val="001F7633"/>
    <w:rsid w:val="00233BD5"/>
    <w:rsid w:val="002B2CC6"/>
    <w:rsid w:val="002B53E4"/>
    <w:rsid w:val="002D3E19"/>
    <w:rsid w:val="00351561"/>
    <w:rsid w:val="00357954"/>
    <w:rsid w:val="003641B3"/>
    <w:rsid w:val="003A57CB"/>
    <w:rsid w:val="003F2715"/>
    <w:rsid w:val="00424CC0"/>
    <w:rsid w:val="00432DF5"/>
    <w:rsid w:val="0043515F"/>
    <w:rsid w:val="004D5C8C"/>
    <w:rsid w:val="00517288"/>
    <w:rsid w:val="00522A6C"/>
    <w:rsid w:val="005405F5"/>
    <w:rsid w:val="00544D61"/>
    <w:rsid w:val="00574C38"/>
    <w:rsid w:val="005C53F8"/>
    <w:rsid w:val="006020BD"/>
    <w:rsid w:val="00677B0D"/>
    <w:rsid w:val="006D41B5"/>
    <w:rsid w:val="0070186C"/>
    <w:rsid w:val="00731B2B"/>
    <w:rsid w:val="007330A1"/>
    <w:rsid w:val="007441EB"/>
    <w:rsid w:val="00756492"/>
    <w:rsid w:val="007736BE"/>
    <w:rsid w:val="007B58E6"/>
    <w:rsid w:val="008A575D"/>
    <w:rsid w:val="008C2C15"/>
    <w:rsid w:val="008C7F9E"/>
    <w:rsid w:val="008D1077"/>
    <w:rsid w:val="00907E0D"/>
    <w:rsid w:val="00923FD3"/>
    <w:rsid w:val="00935B34"/>
    <w:rsid w:val="009A6E86"/>
    <w:rsid w:val="009F0A83"/>
    <w:rsid w:val="009F54F1"/>
    <w:rsid w:val="00A705F6"/>
    <w:rsid w:val="00A77365"/>
    <w:rsid w:val="00AD2065"/>
    <w:rsid w:val="00B94EA9"/>
    <w:rsid w:val="00BC294E"/>
    <w:rsid w:val="00BC5F10"/>
    <w:rsid w:val="00C04441"/>
    <w:rsid w:val="00C144CC"/>
    <w:rsid w:val="00C21D8B"/>
    <w:rsid w:val="00C97AFA"/>
    <w:rsid w:val="00CC7D5F"/>
    <w:rsid w:val="00D2299D"/>
    <w:rsid w:val="00D23355"/>
    <w:rsid w:val="00DB1389"/>
    <w:rsid w:val="00DC5FDC"/>
    <w:rsid w:val="00DE7934"/>
    <w:rsid w:val="00EC4AA2"/>
    <w:rsid w:val="00EF4E45"/>
    <w:rsid w:val="00F061D6"/>
    <w:rsid w:val="00FD0F6A"/>
    <w:rsid w:val="00FE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0373398964993497E-2"/>
          <c:y val="5.6030183727034118E-2"/>
          <c:w val="0.92211055724489777"/>
          <c:h val="0.72613808690580361"/>
        </c:manualLayout>
      </c:layout>
      <c:lineChart>
        <c:grouping val="standard"/>
        <c:ser>
          <c:idx val="0"/>
          <c:order val="0"/>
          <c:tx>
            <c:strRef>
              <c:f>Sayfa1!$F$10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Sayfa1!$G$9:$R$9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Sayfa1!$G$10:$R$10</c:f>
              <c:numCache>
                <c:formatCode>General</c:formatCode>
                <c:ptCount val="12"/>
                <c:pt idx="0">
                  <c:v>113</c:v>
                </c:pt>
                <c:pt idx="1">
                  <c:v>115.2</c:v>
                </c:pt>
                <c:pt idx="2">
                  <c:v>115</c:v>
                </c:pt>
                <c:pt idx="3">
                  <c:v>115.4</c:v>
                </c:pt>
                <c:pt idx="4">
                  <c:v>114.8</c:v>
                </c:pt>
                <c:pt idx="5">
                  <c:v>117.5</c:v>
                </c:pt>
                <c:pt idx="6">
                  <c:v>117.5</c:v>
                </c:pt>
                <c:pt idx="7">
                  <c:v>114.5</c:v>
                </c:pt>
                <c:pt idx="8">
                  <c:v>120.1</c:v>
                </c:pt>
                <c:pt idx="9">
                  <c:v>116.7</c:v>
                </c:pt>
                <c:pt idx="10">
                  <c:v>119.1</c:v>
                </c:pt>
                <c:pt idx="11">
                  <c:v>119.2</c:v>
                </c:pt>
              </c:numCache>
            </c:numRef>
          </c:val>
        </c:ser>
        <c:ser>
          <c:idx val="1"/>
          <c:order val="1"/>
          <c:tx>
            <c:strRef>
              <c:f>Sayfa1!$F$11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Sayfa1!$G$9:$R$9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Sayfa1!$G$11:$R$11</c:f>
              <c:numCache>
                <c:formatCode>General</c:formatCode>
                <c:ptCount val="12"/>
                <c:pt idx="0">
                  <c:v>120.2</c:v>
                </c:pt>
                <c:pt idx="1">
                  <c:v>119.8</c:v>
                </c:pt>
                <c:pt idx="2">
                  <c:v>119.3</c:v>
                </c:pt>
                <c:pt idx="3">
                  <c:v>120.5</c:v>
                </c:pt>
                <c:pt idx="4">
                  <c:v>119.3</c:v>
                </c:pt>
                <c:pt idx="5">
                  <c:v>119.9</c:v>
                </c:pt>
                <c:pt idx="6">
                  <c:v>121.8</c:v>
                </c:pt>
                <c:pt idx="7">
                  <c:v>120.5</c:v>
                </c:pt>
                <c:pt idx="8">
                  <c:v>122.6</c:v>
                </c:pt>
                <c:pt idx="9">
                  <c:v>120.5</c:v>
                </c:pt>
              </c:numCache>
            </c:numRef>
          </c:val>
        </c:ser>
        <c:marker val="1"/>
        <c:axId val="50972928"/>
        <c:axId val="51003776"/>
      </c:lineChart>
      <c:catAx>
        <c:axId val="50972928"/>
        <c:scaling>
          <c:orientation val="minMax"/>
        </c:scaling>
        <c:axPos val="b"/>
        <c:tickLblPos val="nextTo"/>
        <c:crossAx val="51003776"/>
        <c:crosses val="autoZero"/>
        <c:auto val="1"/>
        <c:lblAlgn val="ctr"/>
        <c:lblOffset val="100"/>
      </c:catAx>
      <c:valAx>
        <c:axId val="51003776"/>
        <c:scaling>
          <c:orientation val="minMax"/>
          <c:min val="100"/>
        </c:scaling>
        <c:axPos val="l"/>
        <c:numFmt formatCode="General" sourceLinked="1"/>
        <c:tickLblPos val="nextTo"/>
        <c:crossAx val="50972928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Sayfa1!$A$2</c:f>
              <c:strCache>
                <c:ptCount val="1"/>
                <c:pt idx="0">
                  <c:v>Ekim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numRef>
              <c:f>Sayfa1!$B$1:$E$1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Sayfa1!$B$2:$E$2</c:f>
              <c:numCache>
                <c:formatCode>General</c:formatCode>
                <c:ptCount val="4"/>
                <c:pt idx="0">
                  <c:v>113.4</c:v>
                </c:pt>
                <c:pt idx="1">
                  <c:v>114.6</c:v>
                </c:pt>
                <c:pt idx="2">
                  <c:v>117</c:v>
                </c:pt>
                <c:pt idx="3">
                  <c:v>120.5</c:v>
                </c:pt>
              </c:numCache>
            </c:numRef>
          </c:val>
        </c:ser>
        <c:marker val="1"/>
        <c:axId val="77467008"/>
        <c:axId val="77472896"/>
      </c:lineChart>
      <c:catAx>
        <c:axId val="77467008"/>
        <c:scaling>
          <c:orientation val="minMax"/>
        </c:scaling>
        <c:axPos val="b"/>
        <c:numFmt formatCode="General" sourceLinked="1"/>
        <c:tickLblPos val="nextTo"/>
        <c:crossAx val="77472896"/>
        <c:crosses val="autoZero"/>
        <c:auto val="1"/>
        <c:lblAlgn val="ctr"/>
        <c:lblOffset val="100"/>
      </c:catAx>
      <c:valAx>
        <c:axId val="77472896"/>
        <c:scaling>
          <c:orientation val="minMax"/>
        </c:scaling>
        <c:axPos val="l"/>
        <c:numFmt formatCode="General" sourceLinked="1"/>
        <c:tickLblPos val="nextTo"/>
        <c:crossAx val="774670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0CB82-66A9-439F-9FA7-8433953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2014-12-09T08:40:00Z</dcterms:created>
  <dcterms:modified xsi:type="dcterms:W3CDTF">2014-12-09T08:40:00Z</dcterms:modified>
</cp:coreProperties>
</file>